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0D" w:rsidRDefault="008F0C0D" w:rsidP="00A522D7">
      <w:pPr>
        <w:jc w:val="both"/>
        <w:rPr>
          <w:rFonts w:ascii="Bookman Old Style" w:eastAsia="Times New Roman" w:hAnsi="Bookman Old Style" w:cs="Times New Roman"/>
          <w:b/>
          <w:sz w:val="28"/>
          <w:lang w:val="es-MX" w:eastAsia="es-ES"/>
        </w:rPr>
      </w:pPr>
    </w:p>
    <w:p w:rsidR="008F0C0D" w:rsidRDefault="008F0C0D" w:rsidP="00A522D7">
      <w:pPr>
        <w:jc w:val="both"/>
        <w:rPr>
          <w:rFonts w:ascii="Bookman Old Style" w:eastAsia="Times New Roman" w:hAnsi="Bookman Old Style" w:cs="Times New Roman"/>
          <w:b/>
          <w:sz w:val="28"/>
          <w:lang w:val="es-MX" w:eastAsia="es-ES"/>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8F0C0D">
        <w:rPr>
          <w:rFonts w:ascii="Bookman Old Style" w:eastAsia="Times New Roman" w:hAnsi="Bookman Old Style" w:cs="Times New Roman"/>
          <w:b/>
          <w:sz w:val="28"/>
          <w:lang w:val="es-MX" w:eastAsia="es-ES"/>
        </w:rPr>
        <w:t xml:space="preserve"> “Ley del Presupuesto General </w:t>
      </w:r>
      <w:r w:rsidR="00A522D7" w:rsidRPr="00A522D7">
        <w:rPr>
          <w:rFonts w:ascii="Bookman Old Style" w:eastAsia="Times New Roman" w:hAnsi="Bookman Old Style" w:cs="Times New Roman"/>
          <w:b/>
          <w:sz w:val="28"/>
          <w:lang w:val="es-MX" w:eastAsia="es-ES"/>
        </w:rPr>
        <w:t xml:space="preserve">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Dirección de Contabilidad del Estado, Dirección Financiera y otras dependencias del Ministerio de Finanzas Públicas que lo requieran, la documentación de respaldo de las operaciones financieras, contables </w:t>
      </w:r>
      <w:r w:rsidRPr="00A522D7">
        <w:rPr>
          <w:rFonts w:ascii="Bookman Old Style" w:eastAsia="Times New Roman" w:hAnsi="Bookman Old Style" w:cs="Times New Roman"/>
          <w:sz w:val="28"/>
          <w:lang w:val="es-MX" w:eastAsia="es-ES"/>
        </w:rPr>
        <w:lastRenderedPageBreak/>
        <w:t xml:space="preserve">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8F0C0D">
        <w:rPr>
          <w:rFonts w:ascii="Bookman Old Style" w:hAnsi="Bookman Old Style"/>
          <w:b/>
          <w:sz w:val="28"/>
          <w:lang w:val="es-MX"/>
        </w:rPr>
        <w:t>dic</w:t>
      </w:r>
      <w:r w:rsidR="00191C68">
        <w:rPr>
          <w:rFonts w:ascii="Bookman Old Style" w:hAnsi="Bookman Old Style"/>
          <w:b/>
          <w:sz w:val="28"/>
          <w:lang w:val="es-MX"/>
        </w:rPr>
        <w:t>iembre</w:t>
      </w:r>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8F0C0D" w:rsidRDefault="008F0C0D" w:rsidP="00A522D7">
      <w:pPr>
        <w:jc w:val="both"/>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bookmarkStart w:id="0" w:name="_GoBack"/>
      <w:bookmarkEnd w:id="0"/>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8F0C0D" w:rsidRPr="008F0C0D" w:rsidRDefault="008F0C0D" w:rsidP="008F0C0D">
      <w:pPr>
        <w:rPr>
          <w:rFonts w:ascii="Bookman Old Style" w:eastAsia="Times New Roman" w:hAnsi="Bookman Old Style" w:cs="Times New Roman"/>
          <w:sz w:val="28"/>
          <w:lang w:val="es-MX" w:eastAsia="es-ES"/>
        </w:rPr>
      </w:pPr>
    </w:p>
    <w:p w:rsidR="00A522D7" w:rsidRPr="008F0C0D" w:rsidRDefault="008F0C0D" w:rsidP="008F0C0D">
      <w:pPr>
        <w:tabs>
          <w:tab w:val="left" w:pos="7410"/>
        </w:tabs>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ab/>
      </w:r>
    </w:p>
    <w:sectPr w:rsidR="00A522D7" w:rsidRPr="008F0C0D" w:rsidSect="008F0C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35320"/>
      <w:docPartObj>
        <w:docPartGallery w:val="Page Numbers (Bottom of Page)"/>
        <w:docPartUnique/>
      </w:docPartObj>
    </w:sdtPr>
    <w:sdtContent>
      <w:sdt>
        <w:sdtPr>
          <w:rPr>
            <w:rFonts w:ascii="Arial" w:hAnsi="Arial" w:cs="Arial"/>
            <w:sz w:val="18"/>
          </w:rPr>
          <w:id w:val="-1769616900"/>
          <w:docPartObj>
            <w:docPartGallery w:val="Page Numbers (Top of Page)"/>
            <w:docPartUnique/>
          </w:docPartObj>
        </w:sdtPr>
        <w:sdtEndPr>
          <w:rPr>
            <w:rFonts w:asciiTheme="minorHAnsi" w:hAnsiTheme="minorHAnsi" w:cstheme="minorBidi"/>
            <w:sz w:val="24"/>
          </w:rPr>
        </w:sdtEndPr>
        <w:sdtContent>
          <w:p w:rsidR="008F0C0D" w:rsidRPr="008F0C0D" w:rsidRDefault="008F0C0D">
            <w:pPr>
              <w:pStyle w:val="Piedepgina"/>
              <w:jc w:val="right"/>
              <w:rPr>
                <w:rFonts w:ascii="Arial" w:hAnsi="Arial" w:cs="Arial"/>
                <w:b/>
                <w:bCs/>
                <w:sz w:val="18"/>
              </w:rPr>
            </w:pPr>
            <w:r w:rsidRPr="008F0C0D">
              <w:rPr>
                <w:rFonts w:ascii="Arial" w:hAnsi="Arial" w:cs="Arial"/>
                <w:b/>
                <w:sz w:val="18"/>
                <w:lang w:val="es-ES"/>
              </w:rPr>
              <w:t xml:space="preserve">Página </w:t>
            </w:r>
            <w:r w:rsidRPr="008F0C0D">
              <w:rPr>
                <w:rFonts w:ascii="Arial" w:hAnsi="Arial" w:cs="Arial"/>
                <w:b/>
                <w:bCs/>
                <w:sz w:val="18"/>
              </w:rPr>
              <w:fldChar w:fldCharType="begin"/>
            </w:r>
            <w:r w:rsidRPr="008F0C0D">
              <w:rPr>
                <w:rFonts w:ascii="Arial" w:hAnsi="Arial" w:cs="Arial"/>
                <w:b/>
                <w:bCs/>
                <w:sz w:val="18"/>
              </w:rPr>
              <w:instrText>PAGE</w:instrText>
            </w:r>
            <w:r w:rsidRPr="008F0C0D">
              <w:rPr>
                <w:rFonts w:ascii="Arial" w:hAnsi="Arial" w:cs="Arial"/>
                <w:b/>
                <w:bCs/>
                <w:sz w:val="18"/>
              </w:rPr>
              <w:fldChar w:fldCharType="separate"/>
            </w:r>
            <w:r>
              <w:rPr>
                <w:rFonts w:ascii="Arial" w:hAnsi="Arial" w:cs="Arial"/>
                <w:b/>
                <w:bCs/>
                <w:noProof/>
                <w:sz w:val="18"/>
              </w:rPr>
              <w:t>3</w:t>
            </w:r>
            <w:r w:rsidRPr="008F0C0D">
              <w:rPr>
                <w:rFonts w:ascii="Arial" w:hAnsi="Arial" w:cs="Arial"/>
                <w:b/>
                <w:bCs/>
                <w:sz w:val="18"/>
              </w:rPr>
              <w:fldChar w:fldCharType="end"/>
            </w:r>
            <w:r w:rsidRPr="008F0C0D">
              <w:rPr>
                <w:rFonts w:ascii="Arial" w:hAnsi="Arial" w:cs="Arial"/>
                <w:b/>
                <w:sz w:val="18"/>
                <w:lang w:val="es-ES"/>
              </w:rPr>
              <w:t xml:space="preserve"> de </w:t>
            </w:r>
            <w:r w:rsidRPr="008F0C0D">
              <w:rPr>
                <w:rFonts w:ascii="Arial" w:hAnsi="Arial" w:cs="Arial"/>
                <w:b/>
                <w:bCs/>
                <w:sz w:val="18"/>
              </w:rPr>
              <w:fldChar w:fldCharType="begin"/>
            </w:r>
            <w:r w:rsidRPr="008F0C0D">
              <w:rPr>
                <w:rFonts w:ascii="Arial" w:hAnsi="Arial" w:cs="Arial"/>
                <w:b/>
                <w:bCs/>
                <w:sz w:val="18"/>
              </w:rPr>
              <w:instrText>NUMPAGES</w:instrText>
            </w:r>
            <w:r w:rsidRPr="008F0C0D">
              <w:rPr>
                <w:rFonts w:ascii="Arial" w:hAnsi="Arial" w:cs="Arial"/>
                <w:b/>
                <w:bCs/>
                <w:sz w:val="18"/>
              </w:rPr>
              <w:fldChar w:fldCharType="separate"/>
            </w:r>
            <w:r>
              <w:rPr>
                <w:rFonts w:ascii="Arial" w:hAnsi="Arial" w:cs="Arial"/>
                <w:b/>
                <w:bCs/>
                <w:noProof/>
                <w:sz w:val="18"/>
              </w:rPr>
              <w:t>3</w:t>
            </w:r>
            <w:r w:rsidRPr="008F0C0D">
              <w:rPr>
                <w:rFonts w:ascii="Arial" w:hAnsi="Arial" w:cs="Arial"/>
                <w:b/>
                <w:bCs/>
                <w:sz w:val="18"/>
              </w:rPr>
              <w:fldChar w:fldCharType="end"/>
            </w:r>
          </w:p>
          <w:p w:rsidR="008F0C0D" w:rsidRDefault="008F0C0D">
            <w:pPr>
              <w:pStyle w:val="Piedepgina"/>
              <w:jc w:val="right"/>
            </w:pPr>
            <w:r w:rsidRPr="008F0C0D">
              <w:rPr>
                <w:rFonts w:ascii="Arial" w:hAnsi="Arial" w:cs="Arial"/>
                <w:b/>
                <w:bCs/>
                <w:sz w:val="18"/>
              </w:rPr>
              <w:t>DEPARTAMENTO DE PRESUPUESTO</w:t>
            </w:r>
          </w:p>
        </w:sdtContent>
      </w:sdt>
    </w:sdtContent>
  </w:sdt>
  <w:p w:rsidR="008F0C0D" w:rsidRDefault="008F0C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8F0C0D">
    <w:pPr>
      <w:pStyle w:val="Encabezado"/>
    </w:pPr>
    <w:r w:rsidRPr="00DD1DE6">
      <w:rPr>
        <w:noProof/>
        <w:lang w:val="es-GT" w:eastAsia="es-GT"/>
      </w:rPr>
      <w:drawing>
        <wp:anchor distT="0" distB="0" distL="114300" distR="114300" simplePos="0" relativeHeight="251660288" behindDoc="0" locked="0" layoutInCell="1" allowOverlap="1" wp14:anchorId="7E025F1E" wp14:editId="3C07F789">
          <wp:simplePos x="0" y="0"/>
          <wp:positionH relativeFrom="column">
            <wp:posOffset>-635</wp:posOffset>
          </wp:positionH>
          <wp:positionV relativeFrom="paragraph">
            <wp:posOffset>-182880</wp:posOffset>
          </wp:positionV>
          <wp:extent cx="1763395" cy="791845"/>
          <wp:effectExtent l="0" t="0" r="8255" b="8255"/>
          <wp:wrapNone/>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14:sizeRelH relativeFrom="page">
            <wp14:pctWidth>0</wp14:pctWidth>
          </wp14:sizeRelH>
          <wp14:sizeRelV relativeFrom="page">
            <wp14:pctHeight>0</wp14:pctHeight>
          </wp14:sizeRelV>
        </wp:anchor>
      </w:drawing>
    </w:r>
    <w:r w:rsidRPr="00DD1DE6">
      <w:rPr>
        <w:noProof/>
        <w:lang w:val="es-GT" w:eastAsia="es-GT"/>
      </w:rPr>
      <w:drawing>
        <wp:anchor distT="0" distB="0" distL="114300" distR="114300" simplePos="0" relativeHeight="251659264" behindDoc="1" locked="0" layoutInCell="1" allowOverlap="1" wp14:anchorId="6EB8C8D8" wp14:editId="41FDE8ED">
          <wp:simplePos x="0" y="0"/>
          <wp:positionH relativeFrom="margin">
            <wp:posOffset>4387850</wp:posOffset>
          </wp:positionH>
          <wp:positionV relativeFrom="paragraph">
            <wp:posOffset>-186055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91C68"/>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8F0C0D"/>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0865D"/>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20CE-2462-4999-9807-F7BED93D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3</cp:revision>
  <cp:lastPrinted>2022-04-04T15:13:00Z</cp:lastPrinted>
  <dcterms:created xsi:type="dcterms:W3CDTF">2022-12-05T20:45:00Z</dcterms:created>
  <dcterms:modified xsi:type="dcterms:W3CDTF">2023-01-05T16:28:00Z</dcterms:modified>
</cp:coreProperties>
</file>