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p>
    <w:p w:rsidR="00A522D7" w:rsidRDefault="00D42BF6" w:rsidP="00A522D7">
      <w:pPr>
        <w:jc w:val="both"/>
        <w:rPr>
          <w:rFonts w:ascii="Bookman Old Style" w:eastAsia="Times New Roman" w:hAnsi="Bookman Old Style" w:cs="Times New Roman"/>
          <w:sz w:val="28"/>
          <w:lang w:val="es-MX" w:eastAsia="es-ES"/>
        </w:rPr>
      </w:pPr>
      <w:r>
        <w:rPr>
          <w:rFonts w:ascii="Bookman Old Style" w:eastAsia="Times New Roman" w:hAnsi="Bookman Old Style" w:cs="Times New Roman"/>
          <w:b/>
          <w:sz w:val="28"/>
          <w:lang w:val="es-MX" w:eastAsia="es-ES"/>
        </w:rPr>
        <w:t>Decreto 16-2021</w:t>
      </w:r>
      <w:r w:rsidR="00A522D7" w:rsidRPr="00A522D7">
        <w:rPr>
          <w:rFonts w:ascii="Bookman Old Style" w:eastAsia="Times New Roman" w:hAnsi="Bookman Old Style" w:cs="Times New Roman"/>
          <w:b/>
          <w:sz w:val="28"/>
          <w:lang w:val="es-MX" w:eastAsia="es-ES"/>
        </w:rPr>
        <w:t xml:space="preserve"> “Ley del Presupuesto General de Ingresos y Egresos del Estado para el Ejercicio Fiscal Dos Mil </w:t>
      </w:r>
      <w:r>
        <w:rPr>
          <w:rFonts w:ascii="Bookman Old Style" w:eastAsia="Times New Roman" w:hAnsi="Bookman Old Style" w:cs="Times New Roman"/>
          <w:b/>
          <w:sz w:val="28"/>
          <w:lang w:val="es-MX" w:eastAsia="es-ES"/>
        </w:rPr>
        <w:t xml:space="preserve">Veintidós”, </w:t>
      </w:r>
      <w:r w:rsidR="00A522D7" w:rsidRPr="00A522D7">
        <w:rPr>
          <w:rFonts w:ascii="Bookman Old Style" w:eastAsia="Times New Roman" w:hAnsi="Bookman Old Style" w:cs="Times New Roman"/>
          <w:b/>
          <w:sz w:val="28"/>
          <w:lang w:val="es-MX" w:eastAsia="es-ES"/>
        </w:rPr>
        <w:t>Artículo 8</w:t>
      </w:r>
      <w:r w:rsidR="00E864F6">
        <w:rPr>
          <w:rFonts w:ascii="Bookman Old Style" w:eastAsia="Times New Roman" w:hAnsi="Bookman Old Style" w:cs="Times New Roman"/>
          <w:b/>
          <w:sz w:val="28"/>
          <w:lang w:val="es-MX" w:eastAsia="es-ES"/>
        </w:rPr>
        <w:t>7</w:t>
      </w:r>
      <w:r w:rsidR="00A522D7" w:rsidRPr="00A522D7">
        <w:rPr>
          <w:rFonts w:ascii="Bookman Old Style" w:eastAsia="Times New Roman" w:hAnsi="Bookman Old Style" w:cs="Times New Roman"/>
          <w:b/>
          <w:sz w:val="28"/>
          <w:lang w:val="es-MX" w:eastAsia="es-ES"/>
        </w:rPr>
        <w:t>.</w:t>
      </w:r>
      <w:r w:rsidR="00A522D7" w:rsidRPr="00A522D7">
        <w:rPr>
          <w:rFonts w:ascii="Bookman Old Style" w:eastAsia="Times New Roman" w:hAnsi="Bookman Old Style" w:cs="Times New Roman"/>
          <w:sz w:val="28"/>
          <w:lang w:val="es-MX" w:eastAsia="es-ES"/>
        </w:rPr>
        <w:t xml:space="preserve"> Obligaciones de las entidades públicas con relación a los fideicomisos constituidos con recursos del Estado. En adición a las obligaciones contenidas en el contrato de fideicomiso, las entidades responsables de los mismos deberán: </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Obtener dictamen del Ministerio de Finanzas Públicas, a través de la Dirección de Fideicomisos, previo a constituir, modificar o extinguir los contratos de fideicomiso. </w:t>
      </w:r>
    </w:p>
    <w:p w:rsidR="00A522D7" w:rsidRPr="00A522D7" w:rsidRDefault="00A522D7" w:rsidP="00A522D7">
      <w:pPr>
        <w:pStyle w:val="Prrafodelista"/>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Hasta la liquidación del fideicomiso: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Remitir mensualmente los estados financieros definitivos al Ministerio de Finanzas Públicas, a través de la Dirección de Fideicomisos, al Congreso de la República de Guatemala y a la Contraloría General de Cuentas, por medios informáticos y otros que se establezcan, dentro de los primeros quince (15) días calendario del mes siguiente.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Requerir al fiduciario y poner a disposición de la Contraloría General de Cuentas, los órganos competentes del Ministerio de Finanzas Públicas y las Unidades de Auditoría Interna de la institución que ejerza la representación del Estado como fideicomitente, la documentación relativa a las operaciones del fideicomiso, cuando dichas instituciones lo soliciten por escrito. </w:t>
      </w:r>
    </w:p>
    <w:p w:rsid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Regularizar los bienes que se adquieran con los fondos del fideicomiso, de acuerdo a la normativa vigente.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Cuando los fideicomisos se encuentren vigentes, las entidades responsables deberán, adición a las disposiciones anteriores: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Ejercer el derecho de supervisar o auditar las actividades de los contratos de fideicomiso, de conformidad con lo establecido en los mismos.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Elaborar informes cuatrimestrales de conformidad con la naturaleza del fideicomiso, utilizando los formatos que establezca el Ministerio de Finanzas Públicas.          </w:t>
      </w:r>
    </w:p>
    <w:p w:rsid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Los informes deberán ser enviados en formato físico y electrónico a la Contraloría General de Cuentas, al Congreso de la República de Guatemala y al Ministerio de Finanzas Públicas, por conducto de la dirección de fideicomisos, dentro del mes siguiente al cierre de cada cuatrimestre, y deberán contener como mínimo:</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3"/>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Ejecución física y financiera de los fideicomisos; </w:t>
      </w:r>
    </w:p>
    <w:p w:rsidR="00A522D7" w:rsidRPr="00A522D7" w:rsidRDefault="00A522D7" w:rsidP="00A522D7">
      <w:pPr>
        <w:ind w:left="709" w:hanging="1"/>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ii. Detalle de las adquisiciones, así como las contrataciones de bienes, servicios   u obras realizadas con fondos del fideicomiso y las obligaciones y compromisos financieros que están pendientes de pago y/o regularización al cierre de cada cuatrimestre; </w:t>
      </w:r>
    </w:p>
    <w:p w:rsidR="00A522D7" w:rsidRPr="00A522D7" w:rsidRDefault="00A522D7" w:rsidP="00A522D7">
      <w:pPr>
        <w:ind w:left="851" w:hanging="349"/>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 xml:space="preserve">iii. </w:t>
      </w:r>
      <w:r w:rsidRPr="00A522D7">
        <w:rPr>
          <w:rFonts w:ascii="Bookman Old Style" w:eastAsia="Times New Roman" w:hAnsi="Bookman Old Style" w:cs="Times New Roman"/>
          <w:sz w:val="28"/>
          <w:lang w:val="es-MX" w:eastAsia="es-ES"/>
        </w:rPr>
        <w:t xml:space="preserve">En el caso de los fideicomisos crediticios, un informe de la situación detallada de la cartera; iv. Documento narrativo sobre el cumplimiento de metas y calidad del gasto en el período de que se trate; </w:t>
      </w:r>
    </w:p>
    <w:p w:rsidR="00A522D7" w:rsidRPr="00A522D7" w:rsidRDefault="00A522D7" w:rsidP="00A522D7">
      <w:pPr>
        <w:ind w:left="567"/>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v. </w:t>
      </w:r>
      <w:r w:rsidRPr="00A522D7">
        <w:rPr>
          <w:rFonts w:ascii="Bookman Old Style" w:eastAsia="Times New Roman" w:hAnsi="Bookman Old Style" w:cs="Times New Roman"/>
          <w:sz w:val="28"/>
          <w:lang w:val="es-MX" w:eastAsia="es-ES"/>
        </w:rPr>
        <w:t xml:space="preserve">Publicar dichos informes y los estados financieros en sus portales web. </w:t>
      </w:r>
    </w:p>
    <w:p w:rsidR="00A522D7" w:rsidRPr="00A522D7" w:rsidRDefault="00A522D7" w:rsidP="00A522D7">
      <w:pPr>
        <w:ind w:left="36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Publicar los informes cuatrimestrales a los que se refiere la literal anterior y los estados financieros, en el portal web de la entidad responsable. La Dirección de Fideicomisos Publicará la información consolidada, en el portal web del Ministerio de Finanzas Públicas. En ambos casos, la publicación deberá realizarse dentro de los treinta (30) días hábiles siguientes al vencimiento del plazo de la obligación.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Requerir al fiduciario y poner a disposición de la Dirección de Contabilidad del Estado, Dirección Financiera y otras dependencias del Ministerio de Finanzas Públicas que lo requieran, la documentación de respaldo de las operaciones financieras, contables y de cartera efectuadas por el fideicomiso, para los efectos que corresponda según la normativa específica vigente. Se exceptúan de esta obligación, los aportes que por disposición legal se reciban del presupuesto General de Ingresos y Egresos del Estado en calidad de transferencia. </w:t>
      </w:r>
    </w:p>
    <w:p w:rsidR="00A522D7" w:rsidRPr="00A522D7" w:rsidRDefault="00A522D7" w:rsidP="00A522D7">
      <w:pPr>
        <w:pStyle w:val="Prrafodelista"/>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Registrar cuando corresponda, la información relativa los proyectos de inversión y su avance físico y financiero en el Sistema de Información de Inversión Pública (SNIP), conforme a la legislación y normativa vigente.</w:t>
      </w:r>
    </w:p>
    <w:p w:rsidR="00A522D7" w:rsidRDefault="00A522D7" w:rsidP="00A522D7">
      <w:pPr>
        <w:jc w:val="both"/>
        <w:rPr>
          <w:rFonts w:ascii="Bookman Old Style" w:eastAsia="Times New Roman" w:hAnsi="Bookman Old Style" w:cs="Times New Roman"/>
          <w:b/>
          <w:sz w:val="28"/>
          <w:lang w:val="es-MX" w:eastAsia="es-ES"/>
        </w:rPr>
      </w:pPr>
    </w:p>
    <w:p w:rsidR="00184D84" w:rsidRDefault="00184D84" w:rsidP="00A522D7">
      <w:pPr>
        <w:jc w:val="both"/>
        <w:rPr>
          <w:rFonts w:ascii="Bookman Old Style" w:eastAsia="Times New Roman" w:hAnsi="Bookman Old Style" w:cs="Times New Roman"/>
          <w:b/>
          <w:sz w:val="28"/>
          <w:lang w:val="es-MX" w:eastAsia="es-ES"/>
        </w:rPr>
      </w:pPr>
    </w:p>
    <w:p w:rsidR="00A522D7" w:rsidRPr="00184D84" w:rsidRDefault="00184D84" w:rsidP="00A522D7">
      <w:pPr>
        <w:jc w:val="both"/>
        <w:rPr>
          <w:rFonts w:ascii="Bookman Old Style" w:eastAsia="Times New Roman" w:hAnsi="Bookman Old Style" w:cs="Times New Roman"/>
          <w:b/>
          <w:sz w:val="28"/>
          <w:lang w:val="es-MX" w:eastAsia="es-ES"/>
        </w:rPr>
      </w:pPr>
      <w:r>
        <w:rPr>
          <w:rFonts w:ascii="Bookman Old Style" w:eastAsia="Times New Roman" w:hAnsi="Bookman Old Style" w:cs="Times New Roman"/>
          <w:b/>
          <w:sz w:val="28"/>
          <w:lang w:val="es-MX" w:eastAsia="es-ES"/>
        </w:rPr>
        <w:t xml:space="preserve">“Conforme a su naturaleza coordinadora, competencia y objeto, la Secretaría de Asuntos Administrativo y de Seguridad de la Presidencia de la República de </w:t>
      </w:r>
      <w:r w:rsidR="00ED1419">
        <w:rPr>
          <w:rFonts w:ascii="Bookman Old Style" w:eastAsia="Times New Roman" w:hAnsi="Bookman Old Style" w:cs="Times New Roman"/>
          <w:b/>
          <w:sz w:val="28"/>
          <w:lang w:val="es-MX" w:eastAsia="es-ES"/>
        </w:rPr>
        <w:t>Guatemala, hace</w:t>
      </w:r>
      <w:r w:rsidR="00A522D7" w:rsidRPr="00A522D7">
        <w:rPr>
          <w:rFonts w:ascii="Bookman Old Style" w:eastAsia="Times New Roman" w:hAnsi="Bookman Old Style" w:cs="Times New Roman"/>
          <w:b/>
          <w:sz w:val="28"/>
          <w:lang w:val="es-MX" w:eastAsia="es-ES"/>
        </w:rPr>
        <w:t xml:space="preserve"> saber que dentro del Sistema de Contabilidad Integrada SICOIN, no maneja fondos en fideicomisos constituidos con recursos del Estado</w:t>
      </w:r>
      <w:r w:rsidR="00A522D7" w:rsidRPr="00A522D7">
        <w:rPr>
          <w:rFonts w:ascii="Bookman Old Style" w:eastAsia="Times New Roman" w:hAnsi="Bookman Old Style" w:cs="Times New Roman"/>
          <w:sz w:val="28"/>
          <w:lang w:val="es-MX" w:eastAsia="es-ES"/>
        </w:rPr>
        <w:t xml:space="preserve">. </w:t>
      </w: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890B68" w:rsidP="00A522D7">
      <w:pPr>
        <w:pStyle w:val="Prrafodelista"/>
        <w:jc w:val="right"/>
        <w:rPr>
          <w:rFonts w:ascii="Bookman Old Style" w:hAnsi="Bookman Old Style"/>
          <w:b/>
          <w:sz w:val="28"/>
          <w:lang w:val="es-MX"/>
        </w:rPr>
      </w:pPr>
      <w:r>
        <w:rPr>
          <w:rFonts w:ascii="Bookman Old Style" w:hAnsi="Bookman Old Style"/>
          <w:b/>
          <w:sz w:val="28"/>
          <w:lang w:val="es-MX"/>
        </w:rPr>
        <w:t xml:space="preserve">Guatemala, </w:t>
      </w:r>
      <w:r w:rsidR="00577610">
        <w:rPr>
          <w:rFonts w:ascii="Bookman Old Style" w:hAnsi="Bookman Old Style"/>
          <w:b/>
          <w:sz w:val="28"/>
          <w:lang w:val="es-MX"/>
        </w:rPr>
        <w:t>jul</w:t>
      </w:r>
      <w:bookmarkStart w:id="0" w:name="_GoBack"/>
      <w:bookmarkEnd w:id="0"/>
      <w:r w:rsidR="00B558DE">
        <w:rPr>
          <w:rFonts w:ascii="Bookman Old Style" w:hAnsi="Bookman Old Style"/>
          <w:b/>
          <w:sz w:val="28"/>
          <w:lang w:val="es-MX"/>
        </w:rPr>
        <w:t>io</w:t>
      </w:r>
      <w:r w:rsidR="00A522D7">
        <w:rPr>
          <w:rFonts w:ascii="Bookman Old Style" w:hAnsi="Bookman Old Style"/>
          <w:b/>
          <w:sz w:val="28"/>
          <w:lang w:val="es-MX"/>
        </w:rPr>
        <w:t xml:space="preserve"> de 202</w:t>
      </w:r>
      <w:r w:rsidR="00D42BF6">
        <w:rPr>
          <w:rFonts w:ascii="Bookman Old Style" w:hAnsi="Bookman Old Style"/>
          <w:b/>
          <w:sz w:val="28"/>
          <w:lang w:val="es-MX"/>
        </w:rPr>
        <w:t>2</w:t>
      </w:r>
    </w:p>
    <w:p w:rsidR="00A522D7" w:rsidRDefault="00A522D7" w:rsidP="00A522D7">
      <w:pPr>
        <w:pStyle w:val="Prrafodelista"/>
        <w:jc w:val="right"/>
        <w:rPr>
          <w:rFonts w:ascii="Bookman Old Style" w:hAnsi="Bookman Old Style"/>
          <w:b/>
          <w:sz w:val="28"/>
          <w:lang w:val="es-MX"/>
        </w:rPr>
      </w:pPr>
    </w:p>
    <w:p w:rsidR="00A522D7" w:rsidRDefault="00A522D7" w:rsidP="00A522D7">
      <w:pPr>
        <w:jc w:val="right"/>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sectPr w:rsidR="00A522D7" w:rsidSect="00500E38">
      <w:headerReference w:type="default" r:id="rId7"/>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E0" w:rsidRDefault="00866AE0" w:rsidP="005B1EDE">
      <w:r>
        <w:separator/>
      </w:r>
    </w:p>
  </w:endnote>
  <w:endnote w:type="continuationSeparator" w:id="0">
    <w:p w:rsidR="00866AE0" w:rsidRDefault="00866AE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E0" w:rsidRDefault="00866AE0" w:rsidP="005B1EDE">
      <w:r>
        <w:separator/>
      </w:r>
    </w:p>
  </w:footnote>
  <w:footnote w:type="continuationSeparator" w:id="0">
    <w:p w:rsidR="00866AE0" w:rsidRDefault="00866AE0"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DE" w:rsidRDefault="00A522D7">
    <w:pPr>
      <w:pStyle w:val="Encabezado"/>
    </w:pPr>
    <w:r w:rsidRPr="00DD1DE6">
      <w:rPr>
        <w:noProof/>
        <w:lang w:val="es-GT" w:eastAsia="es-GT"/>
      </w:rPr>
      <w:drawing>
        <wp:inline distT="0" distB="0" distL="0" distR="0" wp14:anchorId="6705E785" wp14:editId="688FC4D6">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1">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r w:rsidRPr="00DD1DE6">
      <w:rPr>
        <w:noProof/>
        <w:lang w:val="es-GT" w:eastAsia="es-GT"/>
      </w:rPr>
      <w:drawing>
        <wp:anchor distT="0" distB="0" distL="114300" distR="114300" simplePos="0" relativeHeight="251659264" behindDoc="1" locked="0" layoutInCell="1" allowOverlap="1" wp14:anchorId="6E7F38AE" wp14:editId="21AE5D7B">
          <wp:simplePos x="0" y="0"/>
          <wp:positionH relativeFrom="margin">
            <wp:posOffset>4133850</wp:posOffset>
          </wp:positionH>
          <wp:positionV relativeFrom="paragraph">
            <wp:posOffset>80645</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0AF"/>
    <w:multiLevelType w:val="hybridMultilevel"/>
    <w:tmpl w:val="0F769480"/>
    <w:lvl w:ilvl="0" w:tplc="100A000F">
      <w:start w:val="1"/>
      <w:numFmt w:val="decimal"/>
      <w:lvlText w:val="%1."/>
      <w:lvlJc w:val="left"/>
      <w:pPr>
        <w:ind w:left="720" w:hanging="360"/>
      </w:pPr>
      <w:rPr>
        <w:rFonts w:hint="default"/>
        <w:b w:val="0"/>
      </w:rPr>
    </w:lvl>
    <w:lvl w:ilvl="1" w:tplc="995AACA6">
      <w:start w:val="1"/>
      <w:numFmt w:val="lowerLetter"/>
      <w:lvlText w:val="%2."/>
      <w:lvlJc w:val="left"/>
      <w:pPr>
        <w:ind w:left="1440" w:hanging="360"/>
      </w:pPr>
      <w:rPr>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C54CAA"/>
    <w:multiLevelType w:val="hybridMultilevel"/>
    <w:tmpl w:val="9A5C355E"/>
    <w:lvl w:ilvl="0" w:tplc="173E2EA2">
      <w:start w:val="3"/>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53681023"/>
    <w:multiLevelType w:val="hybridMultilevel"/>
    <w:tmpl w:val="A380DA4E"/>
    <w:lvl w:ilvl="0" w:tplc="100A0019">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5B0F0C3E"/>
    <w:multiLevelType w:val="hybridMultilevel"/>
    <w:tmpl w:val="46D4BC7E"/>
    <w:lvl w:ilvl="0" w:tplc="100A0019">
      <w:start w:val="9"/>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10E85"/>
    <w:rsid w:val="00027FD2"/>
    <w:rsid w:val="000D7F56"/>
    <w:rsid w:val="00184D84"/>
    <w:rsid w:val="001A6C3D"/>
    <w:rsid w:val="001C1586"/>
    <w:rsid w:val="001D7C7F"/>
    <w:rsid w:val="001F050D"/>
    <w:rsid w:val="00200E23"/>
    <w:rsid w:val="00233350"/>
    <w:rsid w:val="00233496"/>
    <w:rsid w:val="002A3C67"/>
    <w:rsid w:val="002B5F23"/>
    <w:rsid w:val="002E3D46"/>
    <w:rsid w:val="002E7F58"/>
    <w:rsid w:val="00321701"/>
    <w:rsid w:val="00366C1A"/>
    <w:rsid w:val="00382C1D"/>
    <w:rsid w:val="003946C8"/>
    <w:rsid w:val="003D3BFF"/>
    <w:rsid w:val="00403FF7"/>
    <w:rsid w:val="004B1A74"/>
    <w:rsid w:val="004C5A6F"/>
    <w:rsid w:val="00500E38"/>
    <w:rsid w:val="0051685F"/>
    <w:rsid w:val="005232ED"/>
    <w:rsid w:val="00537FDD"/>
    <w:rsid w:val="00577610"/>
    <w:rsid w:val="005A0F84"/>
    <w:rsid w:val="005A7885"/>
    <w:rsid w:val="005B1EDE"/>
    <w:rsid w:val="005F7E69"/>
    <w:rsid w:val="006073DD"/>
    <w:rsid w:val="0068289A"/>
    <w:rsid w:val="006D5AF7"/>
    <w:rsid w:val="006F497A"/>
    <w:rsid w:val="00730A44"/>
    <w:rsid w:val="007677DF"/>
    <w:rsid w:val="007A744E"/>
    <w:rsid w:val="007D2341"/>
    <w:rsid w:val="007D58E4"/>
    <w:rsid w:val="007E4B66"/>
    <w:rsid w:val="007F0B2B"/>
    <w:rsid w:val="007F0C21"/>
    <w:rsid w:val="00801937"/>
    <w:rsid w:val="00854A53"/>
    <w:rsid w:val="00866AE0"/>
    <w:rsid w:val="00867DF7"/>
    <w:rsid w:val="00890B68"/>
    <w:rsid w:val="0089769F"/>
    <w:rsid w:val="008A0885"/>
    <w:rsid w:val="008B2E2F"/>
    <w:rsid w:val="00953064"/>
    <w:rsid w:val="009919DF"/>
    <w:rsid w:val="009C6E97"/>
    <w:rsid w:val="00A26DF9"/>
    <w:rsid w:val="00A4422D"/>
    <w:rsid w:val="00A522D7"/>
    <w:rsid w:val="00A65FA8"/>
    <w:rsid w:val="00A97FE7"/>
    <w:rsid w:val="00AB52D2"/>
    <w:rsid w:val="00AD7F4E"/>
    <w:rsid w:val="00B558DE"/>
    <w:rsid w:val="00BF2FEA"/>
    <w:rsid w:val="00BF4A05"/>
    <w:rsid w:val="00C61CA7"/>
    <w:rsid w:val="00C964E2"/>
    <w:rsid w:val="00CA5AD7"/>
    <w:rsid w:val="00D027FD"/>
    <w:rsid w:val="00D41D91"/>
    <w:rsid w:val="00D42BF6"/>
    <w:rsid w:val="00D51AC2"/>
    <w:rsid w:val="00D820E1"/>
    <w:rsid w:val="00E5651D"/>
    <w:rsid w:val="00E864F6"/>
    <w:rsid w:val="00EA46E6"/>
    <w:rsid w:val="00EB221C"/>
    <w:rsid w:val="00ED1419"/>
    <w:rsid w:val="00ED3DD7"/>
    <w:rsid w:val="00EF0037"/>
    <w:rsid w:val="00F13C6E"/>
    <w:rsid w:val="00F74D3C"/>
    <w:rsid w:val="00F9504E"/>
    <w:rsid w:val="00FC004C"/>
    <w:rsid w:val="00FD1C2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6F0605"/>
  <w15:docId w15:val="{1D77F128-BC8D-4F2B-B025-06B6588E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Gustavo A. Martinez Leal</cp:lastModifiedBy>
  <cp:revision>2</cp:revision>
  <cp:lastPrinted>2022-08-02T15:27:00Z</cp:lastPrinted>
  <dcterms:created xsi:type="dcterms:W3CDTF">2022-08-02T15:27:00Z</dcterms:created>
  <dcterms:modified xsi:type="dcterms:W3CDTF">2022-08-02T15:27:00Z</dcterms:modified>
</cp:coreProperties>
</file>